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 Hansong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20-2-801, YI AN JIA YUAN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BEIWA ROAD, 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BEKE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SEHK: 2423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3"/>
        <w:gridCol w:w="911"/>
        <w:gridCol w:w="781"/>
        <w:gridCol w:w="605"/>
        <w:gridCol w:w="344"/>
        <w:gridCol w:w="827"/>
        <w:gridCol w:w="436"/>
        <w:gridCol w:w="981"/>
        <w:gridCol w:w="1136"/>
        <w:gridCol w:w="98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19,074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803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17.7309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18,271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102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4,588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(ADS) represents three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Acquired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above reflects the weighted average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Share Units corresponding to 3,750 ADSs (representing 11,250 Class A ordinary shares) vested on September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Restricted Share Units evidence the contingent right to receive 4,588 ADSs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Restricted Share Units corresponding to 4,588 ADSs (representing 13,764 Class A ordinary shares) that were granted on September 2, 2026 and will vest on September 2,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/s/ZHU Hansong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4421" TargetMode="External"/><Relationship Id="rId5" Type="http://schemas.openxmlformats.org/officeDocument/2006/relationships/hyperlink" Target="http://www.sec.gov/cgi-bin/browse-edgar?action=getcompany&amp;CIK=0001809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3827</Characters>
  <CharactersWithSpaces>4429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