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57d1_6k.htm"/>
      <w:bookmarkStart w:id="1" w:name="kstm2624957d1_6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issuer listed on The Stock Exchange of Hong Kong Limited, we are required to prepare an interim report in respect of the first six months of each fiscal year pursuant to Rule 13.48(1) of the Rules Governing the Listing of Securities on The Stock Exchange of Hong Kong Limited. We are furnishing our interim report in respect of the first six months of the fiscal year ending December 31, 2026 as Exhibit 99.1 of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1205"/>
        <w:gridCol w:w="60"/>
        <w:gridCol w:w="3695"/>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center"/>
              <w:rPr/>
            </w:pPr>
            <w:hyperlink w:anchor="tm2624957d1_ex99-1.pdf">
              <w:r>
                <w:rPr>
                  <w:rStyle w:val="InternetLink"/>
                  <w:rFonts w:ascii="Times New Roman;Times;Serif" w:hAnsi="Times New Roman;Times;Serif"/>
                </w:rPr>
                <w:t>99.1</w:t>
              </w:r>
            </w:hyperlink>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left"/>
              <w:rPr/>
            </w:pPr>
            <w:hyperlink w:anchor="tm2624957d1_ex99-1.pdf">
              <w:r>
                <w:rPr>
                  <w:rStyle w:val="InternetLink"/>
                  <w:rFonts w:ascii="Times New Roman;Times;Serif" w:hAnsi="Times New Roman;Times;Serif"/>
                </w:rPr>
                <w:t>KE Holdings Inc. 2026 Interim Report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835" w:type="dxa"/>
        <w:jc w:val="left"/>
        <w:tblInd w:w="0" w:type="dxa"/>
        <w:tblLayout w:type="fixed"/>
        <w:tblCellMar>
          <w:top w:w="0" w:type="dxa"/>
          <w:left w:w="0" w:type="dxa"/>
          <w:bottom w:w="0" w:type="dxa"/>
          <w:right w:w="0" w:type="dxa"/>
        </w:tblCellMar>
      </w:tblPr>
      <w:tblGrid>
        <w:gridCol w:w="60"/>
        <w:gridCol w:w="1775"/>
      </w:tblGrid>
      <w:tr>
        <w:trPr/>
        <w:tc>
          <w:tcPr>
            <w:tcW w:w="60" w:type="dxa"/>
            <w:tcBorders/>
            <w:vAlign w:val="center"/>
          </w:tcPr>
          <w:p>
            <w:pPr>
              <w:pStyle w:val="TableContents"/>
              <w:bidi w:val="0"/>
              <w:spacing w:before="0" w:after="283"/>
              <w:jc w:val="both"/>
              <w:rPr/>
            </w:pPr>
            <w:r>
              <w:rPr/>
              <w:t> </w:t>
            </w:r>
          </w:p>
        </w:tc>
        <w:tc>
          <w:tcPr>
            <w:tcW w:w="1775" w:type="dxa"/>
            <w:tcBorders/>
            <w:vAlign w:val="center"/>
          </w:tcPr>
          <w:p>
            <w:pPr>
              <w:pStyle w:val="TableContents"/>
              <w:bidi w:val="0"/>
              <w:spacing w:before="0" w:after="283"/>
              <w:jc w:val="both"/>
              <w:rPr>
                <w:b/>
              </w:rPr>
            </w:pPr>
            <w:r>
              <w:rPr>
                <w:b/>
              </w:rPr>
              <w:t>KE Holdings Inc.</w:t>
            </w:r>
          </w:p>
        </w:tc>
      </w:tr>
    </w:tbl>
    <w:p>
      <w:pPr>
        <w:pStyle w:val="TextBody"/>
        <w:bidi w:val="0"/>
        <w:spacing w:before="0" w:after="0"/>
        <w:ind w:left="0" w:right="0" w:hanging="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590"/>
        <w:gridCol w:w="80"/>
        <w:gridCol w:w="222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XU Tao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239</Words>
  <Characters>1205</Characters>
  <CharactersWithSpaces>1462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